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E0" w:rsidRPr="00751EE0" w:rsidRDefault="00751EE0" w:rsidP="00751E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Приложение № 1</w:t>
      </w:r>
    </w:p>
    <w:p w:rsidR="00751EE0" w:rsidRPr="00751EE0" w:rsidRDefault="00751EE0" w:rsidP="00751E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к приказу ГКОУ РД</w:t>
      </w:r>
    </w:p>
    <w:p w:rsidR="00751EE0" w:rsidRPr="00751EE0" w:rsidRDefault="00751EE0" w:rsidP="00751E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751EE0">
        <w:rPr>
          <w:rFonts w:ascii="Times New Roman" w:eastAsia="Calibri" w:hAnsi="Times New Roman" w:cs="Times New Roman"/>
          <w:b/>
          <w:sz w:val="28"/>
          <w:szCs w:val="28"/>
        </w:rPr>
        <w:t>Новомугурухская</w:t>
      </w:r>
      <w:proofErr w:type="spellEnd"/>
      <w:r w:rsidRPr="00751EE0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751EE0" w:rsidRPr="00751EE0" w:rsidRDefault="00751EE0" w:rsidP="00751E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51EE0">
        <w:rPr>
          <w:rFonts w:ascii="Times New Roman" w:eastAsia="Calibri" w:hAnsi="Times New Roman" w:cs="Times New Roman"/>
          <w:b/>
          <w:sz w:val="28"/>
          <w:szCs w:val="28"/>
        </w:rPr>
        <w:t>Чародинского</w:t>
      </w:r>
      <w:proofErr w:type="spellEnd"/>
      <w:r w:rsidRPr="00751EE0">
        <w:rPr>
          <w:rFonts w:ascii="Times New Roman" w:eastAsia="Calibri" w:hAnsi="Times New Roman" w:cs="Times New Roman"/>
          <w:b/>
          <w:sz w:val="28"/>
          <w:szCs w:val="28"/>
        </w:rPr>
        <w:t xml:space="preserve"> района»</w:t>
      </w:r>
    </w:p>
    <w:p w:rsidR="00751EE0" w:rsidRPr="00751EE0" w:rsidRDefault="00751EE0" w:rsidP="00751E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от 11 февраля  2023 года №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bookmarkStart w:id="0" w:name="_GoBack"/>
      <w:bookmarkEnd w:id="0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Система (целевая модель) наставничества</w:t>
      </w:r>
    </w:p>
    <w:p w:rsidR="00751EE0" w:rsidRPr="00751EE0" w:rsidRDefault="00751EE0" w:rsidP="00751E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 в образовательных организациях</w:t>
      </w:r>
    </w:p>
    <w:p w:rsidR="00751EE0" w:rsidRPr="00751EE0" w:rsidRDefault="00751EE0" w:rsidP="00751E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Методологические основы и ключевые положения системы</w:t>
      </w:r>
    </w:p>
    <w:p w:rsidR="00751EE0" w:rsidRPr="00751EE0" w:rsidRDefault="00751EE0" w:rsidP="00751E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(целевой модели) наставничества</w:t>
      </w:r>
      <w:r w:rsidRPr="00751EE0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E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51EE0">
        <w:rPr>
          <w:rFonts w:ascii="Times New Roman" w:eastAsia="Calibri" w:hAnsi="Times New Roman" w:cs="Times New Roman"/>
          <w:b/>
          <w:sz w:val="28"/>
          <w:szCs w:val="28"/>
        </w:rPr>
        <w:t>. Наставничество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E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  <w:proofErr w:type="gramEnd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Методологической основой системы наставничества является его понимание как: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элемента системы дополнительного профессионального образования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составной части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  <w:proofErr w:type="gramEnd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95BEC" wp14:editId="1708387D">
            <wp:extent cx="304800" cy="2857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Наставник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BDF63" wp14:editId="1265B9DA">
            <wp:extent cx="304800" cy="2857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Наставляемый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Наставляемый является активным субъектом собственного непрерывного личностного и профессионального роста, который </w:t>
      </w:r>
      <w:r w:rsidRPr="00751EE0">
        <w:rPr>
          <w:rFonts w:ascii="Times New Roman" w:eastAsia="Calibri" w:hAnsi="Times New Roman" w:cs="Times New Roman"/>
          <w:sz w:val="28"/>
          <w:szCs w:val="28"/>
        </w:rPr>
        <w:lastRenderedPageBreak/>
        <w:t>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новый педагог в коллективе; педагог, имеющий непедагогическое профильное образование).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содержащие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Важнейшей особенностью системы наставничества является то, что она носит </w:t>
      </w:r>
      <w:r w:rsidRPr="00751EE0">
        <w:rPr>
          <w:rFonts w:ascii="Times New Roman" w:eastAsia="Times New Roman" w:hAnsi="Times New Roman" w:cs="Times New Roman"/>
          <w:color w:val="538135"/>
          <w:sz w:val="28"/>
          <w:szCs w:val="28"/>
        </w:rPr>
        <w:t>точечный, индивидуализированный и персонализированный характер</w:t>
      </w:r>
      <w:r w:rsidRPr="00751EE0">
        <w:rPr>
          <w:rFonts w:ascii="Times New Roman" w:eastAsia="Calibri" w:hAnsi="Times New Roman" w:cs="Times New Roman"/>
          <w:sz w:val="28"/>
          <w:szCs w:val="28"/>
        </w:rPr>
        <w:t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какая глубина их проработки нужна).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i/>
          <w:sz w:val="28"/>
          <w:szCs w:val="28"/>
        </w:rPr>
        <w:t xml:space="preserve">Характерными особенностями системы наставничества являются: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субъект-субъектное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взаимодействие наставника и наставляемого;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личностно ориентированная направленность;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выстраивание практик наставничества с использованием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интернет-среды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, расширение возможности получения поддержки наставников в масштабах всей страны, региона, муниципалитета;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Реализация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Система (целевая модель) наставничества в системе общего образования ориентирована на реализацию федерального проекта "Современная школа", в системе дополнительного образования - на реализацию федерального проекта "Успех каждого ребенка", в системе среднего профессионального образования - на реализацию федерального проекта "Молодые профессионалы", что выражается в различных направлениях деятельности, результатах и показателях.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978E59" wp14:editId="483CE857">
            <wp:extent cx="304800" cy="2857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EE0">
        <w:rPr>
          <w:rFonts w:ascii="Times New Roman" w:eastAsia="Calibri" w:hAnsi="Times New Roman" w:cs="Times New Roman"/>
          <w:b/>
          <w:sz w:val="28"/>
          <w:szCs w:val="28"/>
        </w:rPr>
        <w:t>Система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(целевая модель)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Самопроектирование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на основе желаемого образа самого себя в профессии должно стать наиболее перспективной технологией наставничества.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1.2. Цели, задачи, принципы системы (целевой модели) наставничества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Цель системы (целевой модели) наставничества –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Задачи системы (целевой модели) наставничества: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содействовать повышению правового и социально-профессионального статуса наставников, соблюдению гарантий профессиональных прав и свобод наставляемых;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недирективных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(горизонтальных) инициатив;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институциональном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внеинституциональном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уровнях.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Система (целевая модель) наставничества основывается на следующих принципах: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собственной траектории развития;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принцип вариативности 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II. Условия и ресурсы для внедрения и реализации системы (целевой модели)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наставничества педагогических работников в образовательной организации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модели) 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наставничества, являются ее ресурсами, необходимыми для реализации персонализированных программ наставничества.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2.1. Кадровые условия и ресурсы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Кадровые условия предполагают наличие в образовательной организации: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руководителя, разделяющего ценности отечественной системы образования, приоритетные направления ее развития;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куратора реализации персонализированных программ наставничества;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наставников - педагогов, которые: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имеют подтвержденные результаты педагогической деятельности;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демонстрируют образцы лучших практик преподавания, профессионального взаимодействия с коллегами;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2</w:t>
      </w: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.2. Организационно-методические и организационно-педагогические условия и ресурсы.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подготовку локальных нормативных актов, программ, сопровождающих процесс наставничества педагогических работников;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разработку персонализированных программ наставнической деятельности;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координирование вертикальных и горизонтальных связей в управлении наставнической деятельностью;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нормотворческую, учебно-методическую, научно-методическую, информационно-аналитическую деятельность региональных ЦНППМ,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стажировочных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осуществление мониторинга результатов наставнической деятельности.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2.3. Материально-технические условия и ресурсы.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Материально-технические условия и ресурсы образовательной организации могут включать: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рекреационную зону (модульный класс, комната отдыха) для проведения индивидуальных и групповых (малых групп) встреч наставников и наставляемых;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доску объявлений для размещения открытой информации по наставничеству педагогических работников (в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. электронный ресурс, чаты/группы наставников-наставляемых в социальных сетях);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широкополосный (скоростной) интернет;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Wi-Fi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средства для организации видео-конференц-связи (ВКС);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другие материально-технические ресурсы.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2.4. Финансово-экономические условия.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Мотивирование и стимулирование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Стимулирование реализации системы (целевой модели) наставничества является инструментом мотивации и выполняет три функции - экономическую, социальную и моральную.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A1CAF" wp14:editId="101B3F91">
            <wp:extent cx="304800" cy="28575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Материальное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деятельности;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256ED" wp14:editId="57AD6CE1">
            <wp:extent cx="304800" cy="28575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Нематериальные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различных уровнях; проведение конкурсов профессионального мастерства и т.д.; организация сообществ (ассоциаций) наставников, проведение конкурсов на лучшего наставника.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Способы мотивирования, стимулирования и поощрения наставнической деятельности педагогических работников носят вариативный характер 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программах, поддерживающих развитие системы наставничества.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Среди стимулирующих мер общегосударственного значения можно выделить одну из государственных наград Российской Федерации – знак отличия "За наставничество" (вместе с "Положением о знаке отличия "За наставничество"), введенный в соответствии с Указом Президента Российской Федерации от 2 марта 2018 г. N 94 "Об учреждении знака отличия "За наставничество". Им награждаются лучшие наставники молодежи из числа учителей, преподавателей и других работников образовательных организаций.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Также в качестве меры стимулирующего характера можно отметить ведомственные награды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России – нагрудные знаки "Почетный наставник" и "Молодость и Профессионализм", учрежденные приказом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России от 1 июля 2021 г. N 400 "О ведомственных наградах Министерства просвещения Российской Федерации". Нагрудным знаком "Почетный наставник" также награждаются лучшие наставники молодежи из числа учителей, преподавателей и работников образовательных организаций. Нагрудным знаком "Молодость и профессионализм" награждаются за популяризацию профессии учителя, воспитателя, педагога, а также заслуги в сфере молодежной политики.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2.5. Психолого-педагогические условия.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</w:t>
      </w:r>
      <w:r w:rsidRPr="00751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Психолого-педагогический ресурс в системе наставничества подразумевает: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акмеологических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III. Структурные компоненты системы (целевой модели) наставничества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педагогических работников в образовательной организации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структурных компонентов и механизмов.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Все структурные компоненты системы (целевой модели)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Граница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внутренним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Далеко не в каждой образовательной организации имеется необходимый кадровый потенциал. Поэтому ряд структурных компонентов системы (целевой модели) может быть вынесен на внешний контур.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3.1. Внутренний контур: образовательная организация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6E914" wp14:editId="5C98775C">
            <wp:extent cx="304800" cy="28575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 организация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Издает локальные акты о внедрении и реализации системы (целевой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модели) 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, семинарах по проблемам наставничества и т.п.).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751EE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Осуществляет организационное, учебно-методическое, материально-техническое, инфраструктурное обеспечение системы (целевой модели) наставничества.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Создает условия по координации и мониторингу реализации системы (целевой модели) наставничества.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Общие руководство и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организацией и реализацией системы (целевой модели) наставничества </w:t>
      </w:r>
      <w:r w:rsidRPr="00751EE0">
        <w:rPr>
          <w:rFonts w:ascii="Times New Roman" w:eastAsia="Calibri" w:hAnsi="Times New Roman" w:cs="Times New Roman"/>
          <w:color w:val="538135"/>
          <w:sz w:val="28"/>
          <w:szCs w:val="28"/>
        </w:rPr>
        <w:t>осуществляет руководитель образовательной организации.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7EF1E" wp14:editId="770D44E9">
            <wp:extent cx="304800" cy="28575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</w:t>
      </w:r>
      <w:r w:rsidRPr="00751EE0">
        <w:rPr>
          <w:rFonts w:ascii="Times New Roman" w:eastAsia="Calibri" w:hAnsi="Times New Roman" w:cs="Times New Roman"/>
          <w:color w:val="538135"/>
          <w:sz w:val="28"/>
          <w:szCs w:val="28"/>
        </w:rPr>
        <w:t>куратор реализации программ наставничества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, который назначается руководителем образовательной организации из числа заместителей руководителя.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997E1" wp14:editId="17E468AF">
            <wp:extent cx="304800" cy="285750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EE0">
        <w:rPr>
          <w:rFonts w:ascii="Times New Roman" w:eastAsia="Calibri" w:hAnsi="Times New Roman" w:cs="Times New Roman"/>
          <w:i/>
          <w:sz w:val="28"/>
          <w:szCs w:val="28"/>
        </w:rPr>
        <w:t xml:space="preserve">Куратор реализации программ наставничества: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организовывает разработку персонализированных программ наставничества; - осуществляет мониторинг эффективности и результативности системы (целевой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модели) 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наставничества, формирует итоговый аналитический отчет по внедрению системы (целевой модели) наставничества;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принимает (совместно с системным администратором) участие в наполнении рубрики (странички) "Наставничество"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инициирует публичные мероприятия по популяризации системы наставничества педагогических работников и др. Куратор реализации программ наставничества работает в тесном взаимодействии с первичной профсоюзной </w:t>
      </w:r>
      <w:r w:rsidRPr="00751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организацией или территориальной профсоюзной организацией (комиссией по зарплате и нормированию труда).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Методическое объединение (МО)/совет наставников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0C22A" wp14:editId="3C758EC3">
            <wp:extent cx="304800" cy="285750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EE0">
        <w:rPr>
          <w:rFonts w:ascii="Times New Roman" w:eastAsia="Calibri" w:hAnsi="Times New Roman" w:cs="Times New Roman"/>
          <w:color w:val="538135"/>
          <w:sz w:val="28"/>
          <w:szCs w:val="28"/>
        </w:rPr>
        <w:t>Методическое объединение</w:t>
      </w:r>
      <w:r w:rsidRPr="00751EE0">
        <w:rPr>
          <w:rFonts w:ascii="Times New Roman" w:eastAsia="Calibri" w:hAnsi="Times New Roman" w:cs="Times New Roman"/>
          <w:sz w:val="28"/>
          <w:szCs w:val="28"/>
        </w:rPr>
        <w:t>/</w:t>
      </w:r>
      <w:r w:rsidRPr="00751EE0">
        <w:rPr>
          <w:rFonts w:ascii="Times New Roman" w:eastAsia="Calibri" w:hAnsi="Times New Roman" w:cs="Times New Roman"/>
          <w:color w:val="538135"/>
          <w:sz w:val="28"/>
          <w:szCs w:val="28"/>
        </w:rPr>
        <w:t xml:space="preserve">совет наставников образовательной организации </w:t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Цель деятельности МО наставников: осуществление текущего руководства реализацией персонализированных программ наставничества.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Задачи деятельности МО наставников: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разработке и апробации персонализированных программ наставничества педагогических работников;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участвовать в мониторинговых и оценочных процедурах хода реализации персонализированных программ наставничества;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являться переговорной площадкой, осуществлять консультационные, согласовательные и арбитражные функции;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участвовать в разработке системы поощрения (материального и нематериального стимулирования) наставников и наставляемых;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>участвовать в формировании банка лучших практик наставничества педагогических работников.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2AFF3" wp14:editId="6D54C056">
            <wp:extent cx="304800" cy="285750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Индивидуальный образовательный маршрут наставляемого – это долгосрочная (4-5 лет) образовательная программа профессионального </w:t>
      </w:r>
      <w:r w:rsidRPr="00751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 </w:t>
      </w:r>
      <w:proofErr w:type="gramEnd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Алгоритм разработки индивидуального образовательного маршрута как образовательной технологии предусматривает следующие позиции.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>Самоопределение (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саморефлексия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) педагога – описание идеального, желаемого образа самого себя как состоявшегося профессионала в целях предотвращения "слепого" копирования чужого опыта.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обучающихся. </w:t>
      </w:r>
      <w:proofErr w:type="gramEnd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обучающихся); </w:t>
      </w:r>
      <w:proofErr w:type="gramEnd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Составление дорожной карты ИОМ, включающей: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а) график обучения по программам дополнительного профессионального образования;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б) осуществление инновационных для данного педагога пробно-поисковых действий, реализуемых в совместной с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педагогической деятельности;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г) комплекс и последовательность конкретных мер и мероприятий в целях достижения желаемого результата.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  <w:proofErr w:type="gramEnd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Рефлексивный анализ эффективности ИОМ (самооценка как способ обучения, рефлексия процесса достижения и достигнутых результатов по каждому </w:t>
      </w:r>
      <w:r w:rsidRPr="00751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дефицитов, рефлексия степени приближения к желаемому образу педагога-профессионала).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392E2" wp14:editId="7206DAD0">
            <wp:extent cx="304800" cy="285750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ИОМ педагога должен быть рассчитан не на простой прирост знаний, умений, навыков, компетенций, а на главное приобретение педагогического работника – </w:t>
      </w:r>
      <w:r w:rsidRPr="00751EE0">
        <w:rPr>
          <w:rFonts w:ascii="Times New Roman" w:eastAsia="Calibri" w:hAnsi="Times New Roman" w:cs="Times New Roman"/>
          <w:color w:val="538135"/>
          <w:sz w:val="28"/>
          <w:szCs w:val="28"/>
        </w:rPr>
        <w:t>осмысление своего личностного потенциала, мотивацию к непрерывному профессиональному развитию</w:t>
      </w:r>
      <w:r w:rsidRPr="00751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1EE0" w:rsidRPr="00751EE0" w:rsidRDefault="00751EE0" w:rsidP="00751E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IV. Ожидаемые (планируемые) результаты внедрения и реализации системы  (целевой модели) наставничества педагогических работников</w:t>
      </w:r>
    </w:p>
    <w:p w:rsidR="00751EE0" w:rsidRPr="00751EE0" w:rsidRDefault="00751EE0" w:rsidP="00751E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b/>
          <w:i/>
          <w:sz w:val="28"/>
          <w:szCs w:val="28"/>
        </w:rPr>
        <w:t>в образовательной организации и возможные риски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"на местах". В результате внедрения и реализации системы (целевой модели) наставничества будет создана эффективная среда наставничества, включающая: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непрерывный профессиональный рост, личностное развитие и самореализацию педагогических работников;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рост числа закрепившихся в профессии молодых/начинающих педагогов;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развитие профессиональных перспектив педагогов старшего возраста в условиях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образования;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методическое сопровождение системы наставничества образовательной организации; - цифровую информационно-коммуникативную среду наставничества;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обмен инновационным опытом в сфере практик наставничества педагогических работников.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Для оценки эффективности наставнической деятельности можно рекомендовать мониторинг, состоящий из двух этапов.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i/>
          <w:sz w:val="28"/>
          <w:szCs w:val="28"/>
        </w:rPr>
        <w:t xml:space="preserve">1) </w:t>
      </w:r>
      <w:r w:rsidRPr="00751EE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Мониторинг процесса реализации персонализированной программы наставничества, который оценивает: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образовательных и культурных проектов совместно с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процент обучающихся наставляемого, успешно прошедших ВПР/ОГЭ/ЕГЭ; </w:t>
      </w:r>
      <w:proofErr w:type="gramEnd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динамику успеваемости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динамику участия обучающихся в олимпиадах; </w:t>
      </w:r>
      <w:proofErr w:type="gramEnd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социально-профессиональную активность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1EE0">
        <w:rPr>
          <w:rFonts w:ascii="Times New Roman" w:eastAsia="Calibri" w:hAnsi="Times New Roman" w:cs="Times New Roman"/>
          <w:i/>
          <w:sz w:val="28"/>
          <w:szCs w:val="28"/>
        </w:rPr>
        <w:t xml:space="preserve">2) </w:t>
      </w:r>
      <w:r w:rsidRPr="00751EE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Мониторинг влияния персонализированной программы наставничества на всех ее участников.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Результатом успешной реализации персонализированной программы наставничества может быть признано: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улучшение образовательных результатов и у наставляемого, и у наставника; </w:t>
      </w:r>
      <w:proofErr w:type="gramEnd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751EE0">
        <w:rPr>
          <w:rFonts w:ascii="Times New Roman" w:eastAsia="Calibri" w:hAnsi="Times New Roman" w:cs="Times New Roman"/>
          <w:sz w:val="28"/>
          <w:szCs w:val="28"/>
        </w:rPr>
        <w:t>мотивированности</w:t>
      </w:r>
      <w:proofErr w:type="spell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 </w:t>
      </w:r>
      <w:proofErr w:type="gramEnd"/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степень включенности </w:t>
      </w:r>
      <w:proofErr w:type="gramStart"/>
      <w:r w:rsidRPr="00751EE0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 в инновационную деятельность школы;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качество и темпы адаптации молодого/менее опытного/сменившего место работы специалиста на новом месте работы;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увеличение числа педагогов, планирующих стать наставниками и наставляемыми в ближайшем будущем.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При внедрении и реализации системы (целевой модели) наставничества педагогических работников в образовательных организациях возможны следующие риски.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Отсутствие у части педагогов восприятия наставничества как механизма профессионального роста педагогов.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Высокая нагрузка на наставников и наставляемых.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Низкая мотивация наставников.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Недостаточно высокое качество наставнической деятельности и формализм в выполнении функций наставника.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Низкая мотивация наставляемых, их стремление противопоставить себя "косным" наставникам и их многолетнему опыту.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E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751EE0">
        <w:rPr>
          <w:rFonts w:ascii="Times New Roman" w:eastAsia="Calibri" w:hAnsi="Times New Roman" w:cs="Times New Roman"/>
          <w:sz w:val="28"/>
          <w:szCs w:val="28"/>
        </w:rPr>
        <w:tab/>
        <w:t xml:space="preserve">Низкая степень взаимодействия всех элементов двухконтурной структуры системы (целевой модели) наставничества. </w:t>
      </w:r>
    </w:p>
    <w:p w:rsidR="00751EE0" w:rsidRPr="00751EE0" w:rsidRDefault="00751EE0" w:rsidP="00751E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5CE" w:rsidRDefault="007025CE"/>
    <w:sectPr w:rsidR="007025CE" w:rsidSect="00B737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16"/>
    <w:rsid w:val="007025CE"/>
    <w:rsid w:val="00751EE0"/>
    <w:rsid w:val="00B0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4440</Words>
  <Characters>25310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2023-02-16T06:51:00Z</dcterms:created>
  <dcterms:modified xsi:type="dcterms:W3CDTF">2023-02-16T06:51:00Z</dcterms:modified>
</cp:coreProperties>
</file>